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E057" w14:textId="77777777" w:rsidR="002A41B3" w:rsidRPr="004A6578" w:rsidRDefault="002A41B3" w:rsidP="004A6578">
      <w:pPr>
        <w:pStyle w:val="Heading"/>
        <w:spacing w:before="200" w:after="200" w:line="360" w:lineRule="auto"/>
        <w:rPr>
          <w:sz w:val="28"/>
          <w:szCs w:val="28"/>
        </w:rPr>
      </w:pPr>
      <w:r w:rsidRPr="004A6578">
        <w:rPr>
          <w:sz w:val="28"/>
          <w:szCs w:val="28"/>
        </w:rPr>
        <w:t>KONFIDENCIALUMO SUTARTIS</w:t>
      </w:r>
    </w:p>
    <w:p w14:paraId="7210531A" w14:textId="77777777" w:rsidR="002A41B3" w:rsidRPr="004A6578" w:rsidRDefault="002A41B3" w:rsidP="004A6578">
      <w:pPr>
        <w:spacing w:before="200" w:after="200" w:line="360" w:lineRule="auto"/>
        <w:jc w:val="both"/>
        <w:rPr>
          <w:sz w:val="22"/>
          <w:szCs w:val="22"/>
          <w:lang w:val="lt-LT"/>
        </w:rPr>
      </w:pPr>
    </w:p>
    <w:p w14:paraId="7751030E" w14:textId="59C9C47A" w:rsidR="002A41B3" w:rsidRPr="004A6578" w:rsidRDefault="002A41B3" w:rsidP="004A6578">
      <w:pPr>
        <w:spacing w:before="200" w:after="200" w:line="360" w:lineRule="auto"/>
        <w:jc w:val="both"/>
        <w:rPr>
          <w:sz w:val="22"/>
          <w:szCs w:val="22"/>
          <w:lang w:val="lt-LT"/>
        </w:rPr>
      </w:pPr>
      <w:r w:rsidRPr="004A6578">
        <w:rPr>
          <w:sz w:val="22"/>
          <w:szCs w:val="22"/>
          <w:lang w:val="lt-LT"/>
        </w:rPr>
        <w:t>Šią konfid</w:t>
      </w:r>
      <w:r w:rsidR="00140ACA">
        <w:rPr>
          <w:sz w:val="22"/>
          <w:szCs w:val="22"/>
          <w:lang w:val="lt-LT"/>
        </w:rPr>
        <w:t>e</w:t>
      </w:r>
      <w:r w:rsidRPr="004A6578">
        <w:rPr>
          <w:sz w:val="22"/>
          <w:szCs w:val="22"/>
          <w:lang w:val="lt-LT"/>
        </w:rPr>
        <w:t>ncialumo sutartį, toliau vadinamą Sutartimi, 20</w:t>
      </w:r>
      <w:r w:rsidR="00B37FCE">
        <w:rPr>
          <w:sz w:val="22"/>
          <w:szCs w:val="22"/>
          <w:lang w:val="lt-LT"/>
        </w:rPr>
        <w:t>20</w:t>
      </w:r>
      <w:r w:rsidRPr="004A6578">
        <w:rPr>
          <w:sz w:val="22"/>
          <w:szCs w:val="22"/>
          <w:lang w:val="lt-LT"/>
        </w:rPr>
        <w:t xml:space="preserve"> m. </w:t>
      </w:r>
      <w:r w:rsidR="00B37FCE">
        <w:rPr>
          <w:sz w:val="22"/>
          <w:szCs w:val="22"/>
          <w:lang w:val="lt-LT"/>
        </w:rPr>
        <w:t>rugsėjo</w:t>
      </w:r>
      <w:r w:rsidRPr="004A6578">
        <w:rPr>
          <w:sz w:val="22"/>
          <w:szCs w:val="22"/>
          <w:lang w:val="lt-LT"/>
        </w:rPr>
        <w:t xml:space="preserve"> </w:t>
      </w:r>
      <w:r w:rsidR="00B37FCE">
        <w:rPr>
          <w:sz w:val="22"/>
          <w:szCs w:val="22"/>
          <w:lang w:val="lt-LT"/>
        </w:rPr>
        <w:t>24</w:t>
      </w:r>
      <w:r w:rsidRPr="004A6578">
        <w:rPr>
          <w:sz w:val="22"/>
          <w:szCs w:val="22"/>
          <w:lang w:val="lt-LT"/>
        </w:rPr>
        <w:t xml:space="preserve"> d., </w:t>
      </w:r>
      <w:r w:rsidR="00B37FCE">
        <w:rPr>
          <w:sz w:val="22"/>
          <w:szCs w:val="22"/>
          <w:lang w:val="lt-LT"/>
        </w:rPr>
        <w:t>Kaune</w:t>
      </w:r>
      <w:r w:rsidRPr="004A6578">
        <w:rPr>
          <w:sz w:val="22"/>
          <w:szCs w:val="22"/>
          <w:lang w:val="lt-LT"/>
        </w:rPr>
        <w:t>, sudarė:</w:t>
      </w:r>
    </w:p>
    <w:p w14:paraId="79EF1E9A" w14:textId="137C89D5" w:rsidR="002A41B3" w:rsidRPr="004A6578" w:rsidRDefault="00FF4F23" w:rsidP="004A6578">
      <w:pPr>
        <w:pStyle w:val="Style3"/>
        <w:spacing w:before="200" w:after="200" w:line="360" w:lineRule="auto"/>
        <w:rPr>
          <w:rStyle w:val="FontStyle20"/>
          <w:lang w:val="lt-LT"/>
        </w:rPr>
      </w:pPr>
      <w:r>
        <w:rPr>
          <w:rStyle w:val="FontStyle20"/>
          <w:b/>
          <w:lang w:val="lt-LT"/>
        </w:rPr>
        <w:t>MB</w:t>
      </w:r>
      <w:r w:rsidR="004A6578">
        <w:rPr>
          <w:rStyle w:val="FontStyle20"/>
          <w:b/>
          <w:lang w:val="lt-LT"/>
        </w:rPr>
        <w:t xml:space="preserve"> „</w:t>
      </w:r>
      <w:r>
        <w:rPr>
          <w:rStyle w:val="FontStyle20"/>
          <w:b/>
          <w:lang w:val="lt-LT"/>
        </w:rPr>
        <w:t>LAIKAS ATSINAUJINTI</w:t>
      </w:r>
      <w:r w:rsidR="004A6578">
        <w:rPr>
          <w:rStyle w:val="FontStyle20"/>
          <w:b/>
          <w:lang w:val="lt-LT"/>
        </w:rPr>
        <w:t>“</w:t>
      </w:r>
      <w:r w:rsidR="002A41B3" w:rsidRPr="004A6578">
        <w:rPr>
          <w:rStyle w:val="FontStyle20"/>
          <w:b/>
          <w:lang w:val="lt-LT"/>
        </w:rPr>
        <w:t xml:space="preserve"> </w:t>
      </w:r>
      <w:r w:rsidR="002A41B3" w:rsidRPr="004A6578">
        <w:rPr>
          <w:rStyle w:val="FontStyle20"/>
          <w:lang w:val="lt-LT"/>
        </w:rPr>
        <w:t xml:space="preserve">(toliau vadinamas Bendrovė), atstovaujama </w:t>
      </w:r>
      <w:r>
        <w:rPr>
          <w:rStyle w:val="FontStyle20"/>
          <w:lang w:val="lt-LT"/>
        </w:rPr>
        <w:t>d</w:t>
      </w:r>
      <w:r w:rsidR="002A41B3" w:rsidRPr="004A6578">
        <w:rPr>
          <w:rStyle w:val="FontStyle20"/>
          <w:lang w:val="lt-LT"/>
        </w:rPr>
        <w:t>irektor</w:t>
      </w:r>
      <w:r>
        <w:rPr>
          <w:rStyle w:val="FontStyle20"/>
          <w:lang w:val="lt-LT"/>
        </w:rPr>
        <w:t>ės</w:t>
      </w:r>
      <w:r w:rsidR="002A41B3" w:rsidRPr="004A6578">
        <w:rPr>
          <w:rStyle w:val="FontStyle20"/>
          <w:lang w:val="lt-LT"/>
        </w:rPr>
        <w:t xml:space="preserve"> </w:t>
      </w:r>
      <w:r>
        <w:rPr>
          <w:rStyle w:val="FontStyle20"/>
          <w:lang w:val="lt-LT"/>
        </w:rPr>
        <w:t xml:space="preserve">Emos </w:t>
      </w:r>
      <w:proofErr w:type="spellStart"/>
      <w:r>
        <w:rPr>
          <w:rStyle w:val="FontStyle20"/>
          <w:lang w:val="lt-LT"/>
        </w:rPr>
        <w:t>Baltušienės</w:t>
      </w:r>
      <w:proofErr w:type="spellEnd"/>
      <w:r w:rsidR="002A41B3" w:rsidRPr="004A6578">
        <w:rPr>
          <w:rStyle w:val="FontStyle20"/>
          <w:lang w:val="lt-LT"/>
        </w:rPr>
        <w:t>, veikiančio pagal bendrovės įstatus</w:t>
      </w:r>
    </w:p>
    <w:p w14:paraId="6575F726"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 ir </w:t>
      </w:r>
    </w:p>
    <w:p w14:paraId="79975AB9" w14:textId="77777777" w:rsidR="002A41B3" w:rsidRPr="004A6578" w:rsidRDefault="002A41B3" w:rsidP="004A6578">
      <w:pPr>
        <w:pStyle w:val="Style3"/>
        <w:spacing w:before="200" w:after="200" w:line="360" w:lineRule="auto"/>
        <w:rPr>
          <w:rStyle w:val="FontStyle20"/>
          <w:lang w:val="lt-LT"/>
        </w:rPr>
      </w:pPr>
      <w:r w:rsidRPr="004A6578">
        <w:rPr>
          <w:rFonts w:cs="Times New Roman"/>
          <w:b/>
          <w:sz w:val="22"/>
          <w:szCs w:val="22"/>
          <w:lang w:val="lt-LT"/>
        </w:rPr>
        <w:t>UAB ____________</w:t>
      </w:r>
      <w:r w:rsidRPr="004A6578">
        <w:rPr>
          <w:rFonts w:cs="Times New Roman"/>
          <w:sz w:val="22"/>
          <w:szCs w:val="22"/>
          <w:lang w:val="lt-LT"/>
        </w:rPr>
        <w:t xml:space="preserve"> </w:t>
      </w:r>
      <w:r w:rsidRPr="004A6578">
        <w:rPr>
          <w:rStyle w:val="FontStyle20"/>
          <w:lang w:val="lt-LT"/>
        </w:rPr>
        <w:t>(toliau vadinama Įmonė), atstovaujama direktoriaus ___________________ veikiančio pagal Vykdytojo įstatus,</w:t>
      </w:r>
    </w:p>
    <w:p w14:paraId="3E8056F4"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Bendrovė ir </w:t>
      </w:r>
      <w:r w:rsidRPr="004A6578">
        <w:rPr>
          <w:rStyle w:val="FontStyle20"/>
          <w:lang w:val="lt-LT"/>
        </w:rPr>
        <w:t>Įmonė</w:t>
      </w:r>
      <w:r w:rsidRPr="004A6578">
        <w:rPr>
          <w:sz w:val="22"/>
          <w:szCs w:val="22"/>
          <w:lang w:val="lt-LT"/>
        </w:rPr>
        <w:t xml:space="preserve"> atskirai vadinami “Šalimi”, o kartu “Šalimis”,</w:t>
      </w:r>
    </w:p>
    <w:p w14:paraId="5C94B045" w14:textId="77777777" w:rsidR="002A41B3" w:rsidRPr="004A6578" w:rsidRDefault="002A41B3" w:rsidP="004A6578">
      <w:pPr>
        <w:spacing w:before="200" w:after="200" w:line="360" w:lineRule="auto"/>
        <w:jc w:val="both"/>
        <w:rPr>
          <w:b/>
          <w:sz w:val="22"/>
          <w:szCs w:val="22"/>
          <w:lang w:val="lt-LT"/>
        </w:rPr>
      </w:pPr>
      <w:r w:rsidRPr="004A6578">
        <w:rPr>
          <w:b/>
          <w:sz w:val="22"/>
          <w:szCs w:val="22"/>
          <w:lang w:val="lt-LT"/>
        </w:rPr>
        <w:t>Atsižvelgiant į tai, kad:</w:t>
      </w:r>
    </w:p>
    <w:p w14:paraId="4F3B3AE8" w14:textId="1673E953" w:rsidR="002A41B3" w:rsidRPr="004A6578" w:rsidRDefault="002A41B3" w:rsidP="004A6578">
      <w:pPr>
        <w:numPr>
          <w:ilvl w:val="0"/>
          <w:numId w:val="3"/>
        </w:numPr>
        <w:tabs>
          <w:tab w:val="left" w:pos="540"/>
        </w:tabs>
        <w:spacing w:before="200" w:after="200" w:line="360" w:lineRule="auto"/>
        <w:ind w:left="540" w:hanging="540"/>
        <w:jc w:val="both"/>
        <w:rPr>
          <w:sz w:val="22"/>
          <w:szCs w:val="22"/>
          <w:lang w:val="lt-LT"/>
        </w:rPr>
      </w:pPr>
      <w:r w:rsidRPr="004A6578">
        <w:rPr>
          <w:rStyle w:val="FontStyle20"/>
          <w:lang w:val="lt-LT"/>
        </w:rPr>
        <w:t>Įmonė</w:t>
      </w:r>
      <w:r w:rsidRPr="004A6578">
        <w:rPr>
          <w:sz w:val="22"/>
          <w:szCs w:val="22"/>
          <w:lang w:val="lt-LT"/>
        </w:rPr>
        <w:t xml:space="preserve"> ketina pristatyti verslo idėją</w:t>
      </w:r>
      <w:r w:rsidR="00FF4F23">
        <w:rPr>
          <w:sz w:val="22"/>
          <w:szCs w:val="22"/>
          <w:lang w:val="lt-LT"/>
        </w:rPr>
        <w:t>, suteikti prisijungimus</w:t>
      </w:r>
      <w:r w:rsidRPr="004A6578">
        <w:rPr>
          <w:sz w:val="22"/>
          <w:szCs w:val="22"/>
          <w:lang w:val="lt-LT"/>
        </w:rPr>
        <w:t xml:space="preserve"> bendrovei, siekiant pritraukti Bendrovę dalyvauti idėjos realizavime;</w:t>
      </w:r>
    </w:p>
    <w:p w14:paraId="2E4FA914" w14:textId="77777777" w:rsidR="002A41B3" w:rsidRPr="004A6578" w:rsidRDefault="002A41B3" w:rsidP="004A6578">
      <w:pPr>
        <w:numPr>
          <w:ilvl w:val="0"/>
          <w:numId w:val="3"/>
        </w:numPr>
        <w:tabs>
          <w:tab w:val="left" w:pos="540"/>
        </w:tabs>
        <w:spacing w:before="200" w:after="200" w:line="360" w:lineRule="auto"/>
        <w:ind w:left="540" w:hanging="540"/>
        <w:jc w:val="both"/>
        <w:rPr>
          <w:sz w:val="22"/>
          <w:szCs w:val="22"/>
          <w:lang w:val="lt-LT"/>
        </w:rPr>
      </w:pPr>
      <w:r w:rsidRPr="004A6578">
        <w:rPr>
          <w:sz w:val="22"/>
          <w:szCs w:val="22"/>
          <w:lang w:val="lt-LT"/>
        </w:rPr>
        <w:t>Šalys bendradarbiavimo metu pateiks viena kitai konfidencialią, viešai neprieinamą informaciją ir bendradarbiavimo pagrindu teiks paslaugas bei kurs produktus;</w:t>
      </w:r>
    </w:p>
    <w:p w14:paraId="41163317" w14:textId="77777777" w:rsidR="002A41B3" w:rsidRPr="004A6578" w:rsidRDefault="002A41B3" w:rsidP="004A6578">
      <w:pPr>
        <w:spacing w:before="200" w:after="200" w:line="360" w:lineRule="auto"/>
        <w:jc w:val="both"/>
        <w:rPr>
          <w:sz w:val="22"/>
          <w:szCs w:val="22"/>
          <w:lang w:val="lt-LT"/>
        </w:rPr>
      </w:pPr>
    </w:p>
    <w:p w14:paraId="0BB2D67F" w14:textId="77777777" w:rsidR="002A41B3" w:rsidRPr="004A6578" w:rsidRDefault="002A41B3" w:rsidP="004A6578">
      <w:pPr>
        <w:spacing w:before="200" w:after="200" w:line="360" w:lineRule="auto"/>
        <w:jc w:val="both"/>
        <w:rPr>
          <w:b/>
          <w:sz w:val="22"/>
          <w:szCs w:val="22"/>
          <w:lang w:val="lt-LT"/>
        </w:rPr>
      </w:pPr>
      <w:r w:rsidRPr="004A6578">
        <w:rPr>
          <w:b/>
          <w:sz w:val="22"/>
          <w:szCs w:val="22"/>
          <w:lang w:val="lt-LT"/>
        </w:rPr>
        <w:t>Šalys susitaria:</w:t>
      </w:r>
    </w:p>
    <w:p w14:paraId="66DB7125"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Visa informacija, kuri gauta ar pateikta bet kokia forma (raštu, žodžiu, elektronine ar vaizdine forma ar bet kokiu kitu būdu), kuri susijusi su Šalių ir/ar klientų (klientai yra tiek fiziniai, tiek juridiniai asmenys, kuriems teikia paslaugas Bendrovė arba Bendrovė ir Įmonė kartu) verslu, jų produktais, paslaugomis, technologijomis, „</w:t>
      </w:r>
      <w:proofErr w:type="spellStart"/>
      <w:r w:rsidRPr="004A6578">
        <w:rPr>
          <w:sz w:val="22"/>
          <w:szCs w:val="22"/>
          <w:lang w:val="lt-LT"/>
        </w:rPr>
        <w:t>Know</w:t>
      </w:r>
      <w:proofErr w:type="spellEnd"/>
      <w:r w:rsidRPr="004A6578">
        <w:rPr>
          <w:sz w:val="22"/>
          <w:szCs w:val="22"/>
          <w:lang w:val="lt-LT"/>
        </w:rPr>
        <w:t xml:space="preserve"> </w:t>
      </w:r>
      <w:proofErr w:type="spellStart"/>
      <w:r w:rsidRPr="004A6578">
        <w:rPr>
          <w:sz w:val="22"/>
          <w:szCs w:val="22"/>
          <w:lang w:val="lt-LT"/>
        </w:rPr>
        <w:t>how</w:t>
      </w:r>
      <w:proofErr w:type="spellEnd"/>
      <w:r w:rsidRPr="004A6578">
        <w:rPr>
          <w:sz w:val="22"/>
          <w:szCs w:val="22"/>
          <w:lang w:val="lt-LT"/>
        </w:rPr>
        <w:t xml:space="preserve">“ bei kitais procesais, įskaitant, bet neapsiribojant, Šalių pastabas ir komentarus, vertinimus, argumentus, tyrimo ir kitus dokumentus yra konfidenciali informacija. Bet koks Šalių kartu sukurtas darbo rezultatas ir su darbo rezultato sukūrimu susijęs procesas ir dokumentai laikomi konfidencialiais (toliau – Konfidenciali informacija). </w:t>
      </w:r>
    </w:p>
    <w:p w14:paraId="0B907C53"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Konfidencialia informacija laikoma bet kokio pobūdžio komercinė, gamybinė, profesinė ar technologinė informacija, kuri nėra ir nebuvo viešai žinoma ir prieinama tuo metu, kai viena iš Sutarties Šalių šią informaciją sužinojo ar gavo iš kitos Šalies.</w:t>
      </w:r>
    </w:p>
    <w:p w14:paraId="40FE3480"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 xml:space="preserve">Šios Sutarties tikslais Konfidencialios informacijos sąvoka apima visą bet kokio pobūdžio ir formos su Šalių bendradarbiavimu susijusią informaciją, nuomones ir prognozes, kurias viena Šalis gavo iš kitos Šalies, o taip pat visą žodžiu iš diskusijų, derybų ar susirinkimų su Šalimi ir/arba bet kuriais atitinkamais jos darbuotojais, patikėtinais, atstovais ir konsultantais gautą su Šalių bendradarbiavimu </w:t>
      </w:r>
      <w:r w:rsidRPr="004A6578">
        <w:rPr>
          <w:sz w:val="22"/>
          <w:szCs w:val="22"/>
          <w:lang w:val="lt-LT"/>
        </w:rPr>
        <w:lastRenderedPageBreak/>
        <w:t>susijusią informaciją. Konfidencialia informacija taip pat laikomos idėjos, algoritmai, įvairūs planai, dizainai, verslo galimybės.</w:t>
      </w:r>
    </w:p>
    <w:p w14:paraId="7330DCC0"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Šioje Sutartyje numatyti konfidencialumo įpareigojimai netaikomi tokios Konfidencialios informacijos dalies atžvilgiu, kuri (i) ne dėl Šalies ar jos Atstovų (Atstovai suprantami kaip Šalies darbuotojai, valdymo ar stebėtojų organų nariai, samdomi konsultantai, teisininkai, auditoriai, patikėtiniai, kiti asmenys, padedantys, Šaliai įvykdyti šios darbines funkcijas) neteisėtų veiksmų tapo viešai prieinama; (ii) nekonfidencialiu pagrindu tapo prieinama Šaliai ar jos Atstovams ne iš kitos Šalies ar vieno iš jos Atstovų, o iš kito šaltinio, kuris nėra susaistytas konfidencialumo santykiais su nė viena iš Šalių; (iii) abiejų Šalių buvo pripažinta nekonfidencialia.</w:t>
      </w:r>
    </w:p>
    <w:p w14:paraId="3491B22E"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Tuo atveju, jei iš bet kurios Šalies ar bet kurio Atstovo, kuriam yra perduota Konfidenciali informacija, pagal šią Sutartį, bus pareikalauta ar jie bus teisiškai įpareigoti (pateikiant žodinius klausimus, apklausiant, prašant pateikti informaciją ar dokumentus, pateikiant teismo šaukimą, baudžiamojo ar civilinio tyrimo reikalavimą ar panašių procesų būdu) atskleisti bet kurią Konfidencialią informaciją, ta Šalis nedelsiant pateiks kitai Šaliai rašytinį pranešimą, kad ji galėtų siekti gauti apsauginę teismo nutartį ar kitą atitinkamą teisės gynimo būdą ir/arba atsisakyti laikytis šios Sutarties nuostatų. Šalis gali pateikti tik tą dalį Konfidencialios informacijos, kurios bus teisėtai ir pagrįstai pareikalauta, o prieš pateikiant tokią Konfidencialią informaciją betarpiškai konsultuotis su kita Šalimi ir vykdyti jos teisėtus nurodymus. Kiekviena Šalis įsipareigoja imtis visų jai prieinamų priemonių, užtikrinant Konfidencialios informacijos apsaugą ir atskleisti ją tik gavus teismo ar kitos atitinkamos institucijos privalomą nutarimą, įpareigojantį atskleisti informaciją, tačiau ir tokiu atveju Šalis, kuri privalo atskleisti Konfidencialią informaciją privalo iš anksto apie tai įspėti kitą Šalį.</w:t>
      </w:r>
    </w:p>
    <w:p w14:paraId="546D4F13"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 xml:space="preserve">Kiekviena Šalis užtikrina, kad jos Atstovai laikytųsi šioje Sutartyje numatytų Konfidencialios informacijos atskleidimui bei naudojimui taikomų apribojimų. Šiam tikslui kiekviena Šalis privalo sudaryti tinkamas sąlygas susipažinti kiekvienam Šalies Atstovui su šia Sutartimi, ir kiekviena Šalis atsako už bet kokius savo Atstovų padarytus šios Sutarties pažeidimus. </w:t>
      </w:r>
    </w:p>
    <w:p w14:paraId="007F66DF" w14:textId="77777777" w:rsidR="002A41B3" w:rsidRPr="004A6578" w:rsidRDefault="002A41B3" w:rsidP="004A6578">
      <w:pPr>
        <w:numPr>
          <w:ilvl w:val="2"/>
          <w:numId w:val="2"/>
        </w:numPr>
        <w:tabs>
          <w:tab w:val="left" w:pos="360"/>
          <w:tab w:val="left" w:pos="790"/>
        </w:tabs>
        <w:spacing w:before="200" w:after="200" w:line="360" w:lineRule="auto"/>
        <w:ind w:left="0" w:firstLine="360"/>
        <w:jc w:val="both"/>
        <w:rPr>
          <w:sz w:val="22"/>
          <w:szCs w:val="22"/>
          <w:lang w:val="lt-LT"/>
        </w:rPr>
      </w:pPr>
      <w:r w:rsidRPr="004A6578">
        <w:rPr>
          <w:sz w:val="22"/>
          <w:szCs w:val="22"/>
          <w:lang w:val="lt-LT"/>
        </w:rPr>
        <w:t>Šalys pareiškia ir garantuoja viena kitai, kad:</w:t>
      </w:r>
    </w:p>
    <w:p w14:paraId="329A19C2" w14:textId="77777777" w:rsidR="002A41B3" w:rsidRPr="004A6578" w:rsidRDefault="002A41B3" w:rsidP="004A6578">
      <w:pPr>
        <w:pStyle w:val="BodyText"/>
        <w:spacing w:before="200" w:after="200" w:line="360" w:lineRule="auto"/>
        <w:rPr>
          <w:sz w:val="22"/>
          <w:szCs w:val="22"/>
        </w:rPr>
      </w:pPr>
      <w:r w:rsidRPr="004A6578">
        <w:rPr>
          <w:sz w:val="22"/>
          <w:szCs w:val="22"/>
        </w:rPr>
        <w:t>7.1. Šalis yra veiksnus asmuo, turintis teisę sudaryti ir vykdyti šią Sutartį pagal joje numatytas sąlygas;</w:t>
      </w:r>
    </w:p>
    <w:p w14:paraId="5CDAE96A" w14:textId="77777777" w:rsidR="002A41B3" w:rsidRPr="004A6578" w:rsidRDefault="002A41B3" w:rsidP="004A6578">
      <w:pPr>
        <w:pStyle w:val="BodyText"/>
        <w:spacing w:before="200" w:after="200" w:line="360" w:lineRule="auto"/>
        <w:rPr>
          <w:sz w:val="22"/>
          <w:szCs w:val="22"/>
        </w:rPr>
      </w:pPr>
      <w:r w:rsidRPr="004A6578">
        <w:rPr>
          <w:sz w:val="22"/>
          <w:szCs w:val="22"/>
        </w:rPr>
        <w:t>7.2. Šalis atliko visus veiksmus, būtinus Sutarties teisėtam sudarymui, jos galiojimui ir Sutarties sąlygų vykdymui;</w:t>
      </w:r>
    </w:p>
    <w:p w14:paraId="553966DA" w14:textId="77777777" w:rsidR="002A41B3" w:rsidRPr="004A6578" w:rsidRDefault="002A41B3" w:rsidP="004A6578">
      <w:pPr>
        <w:pStyle w:val="BodyText"/>
        <w:spacing w:before="200" w:after="200" w:line="360" w:lineRule="auto"/>
        <w:rPr>
          <w:sz w:val="22"/>
          <w:szCs w:val="22"/>
        </w:rPr>
      </w:pPr>
      <w:r w:rsidRPr="004A6578">
        <w:rPr>
          <w:sz w:val="22"/>
          <w:szCs w:val="22"/>
        </w:rPr>
        <w:t>7.3. Sutartis sudaroma Šalies naudai ir neprieštarauja jos interesams, buvo priimti ir yra galiojantys visi šios Sutarties teisėtam sudarymui, jos galiojimui ir Sutarties sąlygų vykdymui būtini kompetentingų Šalies organų sprendimai ir gauti atitinkami jų pritarimai, o Šalies vardu pasirašantis atstovas sudaro šią Sutartį, nepažeisdamas savo kompetencijos;</w:t>
      </w:r>
    </w:p>
    <w:p w14:paraId="162BAB8A" w14:textId="77777777" w:rsidR="002A41B3" w:rsidRPr="004A6578" w:rsidRDefault="002A41B3" w:rsidP="004A6578">
      <w:pPr>
        <w:pStyle w:val="BodyText"/>
        <w:spacing w:before="200" w:after="200" w:line="360" w:lineRule="auto"/>
        <w:rPr>
          <w:sz w:val="22"/>
          <w:szCs w:val="22"/>
        </w:rPr>
      </w:pPr>
      <w:r w:rsidRPr="004A6578">
        <w:rPr>
          <w:sz w:val="22"/>
          <w:szCs w:val="22"/>
        </w:rPr>
        <w:lastRenderedPageBreak/>
        <w:t>7.4. Nėra iškeltų / pradėtų, nagrinėjamų arbitražo, civilinių, administracinių ar baudžiamųjų bylų, kurios gali turėti įtakos šios Sutarties sudarymui, galiojimui ar jos vykdymui;</w:t>
      </w:r>
    </w:p>
    <w:p w14:paraId="246087A7" w14:textId="77777777" w:rsidR="002A41B3" w:rsidRPr="004A6578" w:rsidRDefault="002A41B3" w:rsidP="004A6578">
      <w:pPr>
        <w:pStyle w:val="BodyText"/>
        <w:spacing w:before="200" w:after="200" w:line="360" w:lineRule="auto"/>
        <w:rPr>
          <w:sz w:val="22"/>
          <w:szCs w:val="22"/>
        </w:rPr>
      </w:pPr>
      <w:r w:rsidRPr="004A6578">
        <w:rPr>
          <w:sz w:val="22"/>
          <w:szCs w:val="22"/>
        </w:rPr>
        <w:t>7.5. Sudarydamos šią Sutartį ir vykdydamos ją, Šalys nepažeis jas saistančių teisės aktų, sandorių, administracinių aktų, teismų ar arbitražų sprendimų ar kitų jas įpareigojančių dokumentų, taip pat akcininkų, kreditorių ar trečiųjų asmenų teisių ar teisėtų interesų, ši Sutartis neprieštarauja Šalių organų sprendimams, taip pat, kad šios Sutarties pasirašymo metu galioja visi teisės aktų nustatyti ir šiam sandoriui sudaryti reikalingi įgalinimai ir patvirtinimai;</w:t>
      </w:r>
    </w:p>
    <w:p w14:paraId="2640E630" w14:textId="77777777" w:rsidR="002A41B3" w:rsidRPr="004A6578" w:rsidRDefault="002A41B3" w:rsidP="004A6578">
      <w:pPr>
        <w:pStyle w:val="BodyText"/>
        <w:spacing w:before="200" w:after="200" w:line="360" w:lineRule="auto"/>
        <w:rPr>
          <w:sz w:val="22"/>
          <w:szCs w:val="22"/>
        </w:rPr>
      </w:pPr>
      <w:r w:rsidRPr="004A6578">
        <w:rPr>
          <w:sz w:val="22"/>
          <w:szCs w:val="22"/>
        </w:rPr>
        <w:t>7.6. Sutartis yra sudaryta laisva abiejų Šalių valia, nenaudojant apgaulės ar spaudimo, dėl kurio Šalys būtų priverstos sudaryti šį sandorį. Šalys buvo geranoriškos ir sąžiningos viena kitos atžvilgiu, rengdamos ir pasirašydamos šią Sutartį, Šalys atskleidė viena kitai visą joms žinomą informaciją, turinčią esminės reikšmės šios Sutarties sudarymui ir jos vykdymui, ir sąmoningai nepateikė viena kitai jokios klaidinančios informacijos. Sutartis sudaryta vadovaujantis sąžiningumo, teisingumo, protingumo ir Šalių lygiateisiškumo principais, visos šios Sutarties sudarymo aplinkybės Šalims žinomos. Visos Sutarties sąlygos buvo individualiai Šalių aptartos ir kiekviena Šalis galėjo daryti įtaką jas nustatant.</w:t>
      </w:r>
    </w:p>
    <w:p w14:paraId="22CB9515"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8. Kiekviena Šalis įsipareigoja atlyginti kitos Šalies patirtus nuostolius dėl šios Sutarties pažeidimo. Į nuostolių dydį įskaičiuojami tiesioginiai Šalies patirti nuostoliai visais atvejais ir  netiesioginiai nuostoliai, jeigu Šalis gali įrodyti jų dydį.</w:t>
      </w:r>
    </w:p>
    <w:p w14:paraId="772311B4"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 xml:space="preserve">9. Pasirašydamos šią Sutartį, Šalys pareiškia ir patvirtina, kad ši Sutartis ar atskiros jos sąlygos nepagrįstai nesuteikia nei vienai iš Šalių perdėto pranašumo. Kiekviena Šalis patvirtina, kad ėmėsi visų priemonių šios Sutarties esmei bei iš jos atsirandančioms teisėms bei pareigoms suprasti, taip pat, kad šios Sutarties pasirašymo metu nėra nei vienos aplinkybės (Šalies </w:t>
      </w:r>
      <w:proofErr w:type="spellStart"/>
      <w:r w:rsidRPr="004A6578">
        <w:rPr>
          <w:sz w:val="22"/>
          <w:szCs w:val="22"/>
          <w:lang w:val="lt-LT"/>
        </w:rPr>
        <w:t>neinformuotumo</w:t>
      </w:r>
      <w:proofErr w:type="spellEnd"/>
      <w:r w:rsidRPr="004A6578">
        <w:rPr>
          <w:sz w:val="22"/>
          <w:szCs w:val="22"/>
          <w:lang w:val="lt-LT"/>
        </w:rPr>
        <w:t xml:space="preserve">, nepatyrimo, neapdairumo ir kt.), įskaitant numatytas Lietuvos Respublikos civilinio kodekso 6.228 straipsnyje, dėl kurių galėtų atsirasti esminė Sutarties Šalių nelygybė. Kiekviena Šalis patvirtina, kad dėl šios Sutarties sąlygų pareiškė pasiūlymus ir pastabas, į kurias sudarant šią Sutartį buvo atsižvelgta, </w:t>
      </w:r>
      <w:proofErr w:type="spellStart"/>
      <w:r w:rsidRPr="004A6578">
        <w:rPr>
          <w:sz w:val="22"/>
          <w:szCs w:val="22"/>
          <w:lang w:val="lt-LT"/>
        </w:rPr>
        <w:t>t.y</w:t>
      </w:r>
      <w:proofErr w:type="spellEnd"/>
      <w:r w:rsidRPr="004A6578">
        <w:rPr>
          <w:sz w:val="22"/>
          <w:szCs w:val="22"/>
          <w:lang w:val="lt-LT"/>
        </w:rPr>
        <w:t>. kiekviena Šalis galėjo daryti įtaką nustatant šios Sutarties sąlygas, kurios yra aiškiai išreikštos, Šalims suprantamos ir priimtinos, kad ši Sutartis ar jos atskiros sąlygos nepažeidžia Šalių teisių ir pareigų pusiausvyros bei Šalių teisių ir interesų.</w:t>
      </w:r>
    </w:p>
    <w:p w14:paraId="176B26BF"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 xml:space="preserve">10. Bet kokie šios Sutarties pakeitimai ar papildymai galioja tik tuo atveju, jei jie yra atliekami raštu, ir juos pasirašo abi Šalys. </w:t>
      </w:r>
    </w:p>
    <w:p w14:paraId="04BA26B6"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11. Ši Sutartis sudaryta ir aiškintina vadovaujantis Lietuvos Respublikos įstatymais.</w:t>
      </w:r>
    </w:p>
    <w:p w14:paraId="746BC5DE"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 xml:space="preserve">12. Ši Sutartis įsigalioja, kai abi Šalys tiesiogiai ar faksimilinio / elektroninio ryšio pagalba apsikeičia kiekvienos iš Šalių tinkamai pasirašytais ir antspauduotais Sutarties egzemplioriais, tačiau kiekviena iš Šalių privalo užtikrinti, kad kita Šalis gautų tinkamai pasirašytą ir antspauduotą šios Sutarties originalą. </w:t>
      </w:r>
    </w:p>
    <w:p w14:paraId="6592C6DD"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t xml:space="preserve">13. Ši Sutartis įsigalioja ją pasirašius ir galioja iki kol tarp Šalių bus pasirašoma sutartis dėl paslaugų ar darbų teikimo, bet visais atvejais ne trumpiau nei vienerius metus nuo Sutarties pasirašymo. </w:t>
      </w:r>
    </w:p>
    <w:p w14:paraId="4AE3F7CF" w14:textId="77777777" w:rsidR="002A41B3" w:rsidRPr="004A6578" w:rsidRDefault="002A41B3" w:rsidP="004A6578">
      <w:pPr>
        <w:spacing w:before="200" w:after="200" w:line="360" w:lineRule="auto"/>
        <w:ind w:firstLine="360"/>
        <w:jc w:val="both"/>
        <w:rPr>
          <w:sz w:val="22"/>
          <w:szCs w:val="22"/>
          <w:lang w:val="lt-LT"/>
        </w:rPr>
      </w:pPr>
      <w:r w:rsidRPr="004A6578">
        <w:rPr>
          <w:sz w:val="22"/>
          <w:szCs w:val="22"/>
          <w:lang w:val="lt-LT"/>
        </w:rPr>
        <w:lastRenderedPageBreak/>
        <w:t>14. Bet kokie iš šios Sutarties kylantys arba su ja susiję ginčai, nesutarimai ar reikalavimai sprendžiami Šalių derybomis. Jeigu Šalims nepavyks ginčo išspręsti per trisdešimt dienų nuo ginčo atsiradimo, Šalys įsipareigoja kreiptis į Vilniaus Komercinį Arbitražo teismą. Šalys susitaria, kad arbitrų skaičius bus trys, kiekviena Šalis skirs po vieną arbitrą, o trečiąjį arbitrą pirmininką pasirinks Šalių paskirti arbitrai. Proceso kalba – lietuvių kalba, taikoma teisė – Lietuvos Respublikos teisė.</w:t>
      </w:r>
    </w:p>
    <w:p w14:paraId="26A68CC7" w14:textId="77777777" w:rsidR="002A41B3" w:rsidRPr="004A6578" w:rsidRDefault="002A41B3" w:rsidP="004A6578">
      <w:pPr>
        <w:spacing w:before="200" w:after="200" w:line="360" w:lineRule="auto"/>
        <w:jc w:val="both"/>
        <w:rPr>
          <w:sz w:val="22"/>
          <w:szCs w:val="22"/>
          <w:lang w:val="lt-LT"/>
        </w:rPr>
      </w:pPr>
    </w:p>
    <w:p w14:paraId="5E737A32"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PATVIRTINANT AUKŠČIAU IŠDĖSTYTĄ, </w:t>
      </w:r>
    </w:p>
    <w:p w14:paraId="0F23AA15"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Šalys pasirašė šią Sutartį anksčiau nurodytą dieną. </w:t>
      </w:r>
    </w:p>
    <w:p w14:paraId="664099E7" w14:textId="77777777" w:rsidR="002A41B3" w:rsidRPr="004A6578" w:rsidRDefault="002A41B3" w:rsidP="004A6578">
      <w:pPr>
        <w:spacing w:before="200" w:after="200" w:line="360" w:lineRule="auto"/>
        <w:jc w:val="both"/>
        <w:rPr>
          <w:sz w:val="22"/>
          <w:szCs w:val="22"/>
          <w:lang w:val="lt-LT"/>
        </w:rPr>
      </w:pPr>
    </w:p>
    <w:tbl>
      <w:tblPr>
        <w:tblW w:w="0" w:type="auto"/>
        <w:tblLayout w:type="fixed"/>
        <w:tblLook w:val="0000" w:firstRow="0" w:lastRow="0" w:firstColumn="0" w:lastColumn="0" w:noHBand="0" w:noVBand="0"/>
      </w:tblPr>
      <w:tblGrid>
        <w:gridCol w:w="4788"/>
        <w:gridCol w:w="3734"/>
      </w:tblGrid>
      <w:tr w:rsidR="002A41B3" w:rsidRPr="004A6578" w14:paraId="53DCD5BE" w14:textId="77777777">
        <w:tc>
          <w:tcPr>
            <w:tcW w:w="4788" w:type="dxa"/>
            <w:shd w:val="clear" w:color="auto" w:fill="auto"/>
          </w:tcPr>
          <w:p w14:paraId="575D2E8C" w14:textId="77777777" w:rsidR="002A41B3" w:rsidRPr="004A6578" w:rsidRDefault="002A41B3" w:rsidP="004A6578">
            <w:pPr>
              <w:snapToGrid w:val="0"/>
              <w:spacing w:before="200" w:after="200" w:line="360" w:lineRule="auto"/>
              <w:jc w:val="both"/>
              <w:rPr>
                <w:sz w:val="22"/>
                <w:szCs w:val="22"/>
                <w:lang w:val="lt-LT"/>
              </w:rPr>
            </w:pPr>
            <w:r w:rsidRPr="004A6578">
              <w:rPr>
                <w:sz w:val="22"/>
                <w:szCs w:val="22"/>
                <w:lang w:val="lt-LT"/>
              </w:rPr>
              <w:t>Bendrovės vardu:</w:t>
            </w:r>
          </w:p>
          <w:p w14:paraId="2CCFA5D3" w14:textId="77777777" w:rsidR="002A41B3" w:rsidRPr="004A6578" w:rsidRDefault="002A41B3" w:rsidP="004A6578">
            <w:pPr>
              <w:spacing w:before="200" w:after="200" w:line="360" w:lineRule="auto"/>
              <w:jc w:val="both"/>
              <w:rPr>
                <w:sz w:val="22"/>
                <w:szCs w:val="22"/>
                <w:lang w:val="lt-LT"/>
              </w:rPr>
            </w:pPr>
          </w:p>
          <w:p w14:paraId="351957E2"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 xml:space="preserve"> _______________________</w:t>
            </w:r>
          </w:p>
          <w:p w14:paraId="284D56D7" w14:textId="2AACD9FD" w:rsidR="002A41B3" w:rsidRPr="004A6578" w:rsidRDefault="004A6578" w:rsidP="004A6578">
            <w:pPr>
              <w:spacing w:before="200" w:after="200" w:line="360" w:lineRule="auto"/>
              <w:jc w:val="both"/>
              <w:rPr>
                <w:sz w:val="22"/>
                <w:szCs w:val="22"/>
                <w:lang w:val="lt-LT"/>
              </w:rPr>
            </w:pPr>
            <w:r>
              <w:rPr>
                <w:sz w:val="22"/>
                <w:szCs w:val="22"/>
                <w:lang w:val="lt-LT"/>
              </w:rPr>
              <w:t>Direktor</w:t>
            </w:r>
            <w:r w:rsidR="00FF4F23">
              <w:rPr>
                <w:sz w:val="22"/>
                <w:szCs w:val="22"/>
                <w:lang w:val="lt-LT"/>
              </w:rPr>
              <w:t>ė</w:t>
            </w:r>
            <w:r>
              <w:rPr>
                <w:sz w:val="22"/>
                <w:szCs w:val="22"/>
                <w:lang w:val="lt-LT"/>
              </w:rPr>
              <w:t xml:space="preserve">, </w:t>
            </w:r>
            <w:r w:rsidR="00FF4F23">
              <w:rPr>
                <w:sz w:val="22"/>
                <w:szCs w:val="22"/>
                <w:lang w:val="lt-LT"/>
              </w:rPr>
              <w:t>Ema Baltušienė</w:t>
            </w:r>
          </w:p>
          <w:p w14:paraId="3A093280" w14:textId="77777777" w:rsidR="002A41B3" w:rsidRPr="004A6578" w:rsidRDefault="002A41B3" w:rsidP="004A6578">
            <w:pPr>
              <w:spacing w:before="200" w:after="200" w:line="360" w:lineRule="auto"/>
              <w:jc w:val="both"/>
              <w:rPr>
                <w:sz w:val="22"/>
                <w:szCs w:val="22"/>
                <w:lang w:val="lt-LT"/>
              </w:rPr>
            </w:pPr>
          </w:p>
          <w:p w14:paraId="0DE31B6A" w14:textId="77777777" w:rsidR="002A41B3" w:rsidRPr="004A6578" w:rsidRDefault="002A41B3" w:rsidP="004A6578">
            <w:pPr>
              <w:spacing w:before="200" w:after="200" w:line="360" w:lineRule="auto"/>
              <w:jc w:val="both"/>
              <w:rPr>
                <w:sz w:val="22"/>
                <w:szCs w:val="22"/>
                <w:lang w:val="lt-LT"/>
              </w:rPr>
            </w:pPr>
          </w:p>
          <w:p w14:paraId="5C9F6CD9"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A.V.</w:t>
            </w:r>
          </w:p>
        </w:tc>
        <w:tc>
          <w:tcPr>
            <w:tcW w:w="3734" w:type="dxa"/>
            <w:shd w:val="clear" w:color="auto" w:fill="auto"/>
          </w:tcPr>
          <w:p w14:paraId="6B1FBBA3" w14:textId="77777777" w:rsidR="002A41B3" w:rsidRPr="004A6578" w:rsidRDefault="002A41B3" w:rsidP="004A6578">
            <w:pPr>
              <w:snapToGrid w:val="0"/>
              <w:spacing w:before="200" w:after="200" w:line="360" w:lineRule="auto"/>
              <w:jc w:val="both"/>
              <w:rPr>
                <w:sz w:val="22"/>
                <w:szCs w:val="22"/>
                <w:lang w:val="lt-LT"/>
              </w:rPr>
            </w:pPr>
            <w:r w:rsidRPr="004A6578">
              <w:rPr>
                <w:sz w:val="22"/>
                <w:szCs w:val="22"/>
                <w:lang w:val="lt-LT"/>
              </w:rPr>
              <w:t xml:space="preserve">Vykdytojo vardu: </w:t>
            </w:r>
          </w:p>
          <w:p w14:paraId="3B6E5141" w14:textId="77777777" w:rsidR="002A41B3" w:rsidRPr="004A6578" w:rsidRDefault="002A41B3" w:rsidP="004A6578">
            <w:pPr>
              <w:spacing w:before="200" w:after="200" w:line="360" w:lineRule="auto"/>
              <w:jc w:val="both"/>
              <w:rPr>
                <w:sz w:val="22"/>
                <w:szCs w:val="22"/>
                <w:lang w:val="lt-LT"/>
              </w:rPr>
            </w:pPr>
          </w:p>
          <w:p w14:paraId="122FF9F7" w14:textId="77777777" w:rsidR="002A41B3" w:rsidRPr="004A6578" w:rsidRDefault="002A41B3" w:rsidP="004A6578">
            <w:pPr>
              <w:spacing w:before="200" w:after="200" w:line="360" w:lineRule="auto"/>
              <w:jc w:val="both"/>
              <w:rPr>
                <w:sz w:val="22"/>
                <w:szCs w:val="22"/>
                <w:lang w:val="lt-LT"/>
              </w:rPr>
            </w:pPr>
            <w:r w:rsidRPr="004A6578">
              <w:rPr>
                <w:sz w:val="22"/>
                <w:szCs w:val="22"/>
                <w:lang w:val="lt-LT"/>
              </w:rPr>
              <w:t>_________________________</w:t>
            </w:r>
          </w:p>
          <w:p w14:paraId="559539EB" w14:textId="77777777" w:rsidR="002A41B3" w:rsidRPr="004A6578" w:rsidRDefault="002A41B3" w:rsidP="004A6578">
            <w:pPr>
              <w:spacing w:before="200" w:after="200" w:line="360" w:lineRule="auto"/>
              <w:rPr>
                <w:sz w:val="22"/>
                <w:szCs w:val="22"/>
                <w:lang w:val="lt-LT"/>
              </w:rPr>
            </w:pPr>
            <w:r w:rsidRPr="004A6578">
              <w:rPr>
                <w:sz w:val="22"/>
                <w:szCs w:val="22"/>
                <w:lang w:val="lt-LT"/>
              </w:rPr>
              <w:t xml:space="preserve">Direktorius </w:t>
            </w:r>
          </w:p>
          <w:p w14:paraId="58DBC742" w14:textId="77777777" w:rsidR="002A41B3" w:rsidRPr="004A6578" w:rsidRDefault="002A41B3" w:rsidP="004A6578">
            <w:pPr>
              <w:spacing w:before="200" w:after="200" w:line="360" w:lineRule="auto"/>
              <w:rPr>
                <w:sz w:val="22"/>
                <w:szCs w:val="22"/>
                <w:lang w:val="lt-LT"/>
              </w:rPr>
            </w:pPr>
          </w:p>
          <w:p w14:paraId="0278157C" w14:textId="77777777" w:rsidR="002A41B3" w:rsidRPr="004A6578" w:rsidRDefault="002A41B3" w:rsidP="004A6578">
            <w:pPr>
              <w:spacing w:before="200" w:after="200" w:line="360" w:lineRule="auto"/>
              <w:rPr>
                <w:sz w:val="22"/>
                <w:szCs w:val="22"/>
                <w:lang w:val="lt-LT"/>
              </w:rPr>
            </w:pPr>
            <w:r w:rsidRPr="004A6578">
              <w:rPr>
                <w:sz w:val="22"/>
                <w:szCs w:val="22"/>
                <w:lang w:val="lt-LT"/>
              </w:rPr>
              <w:t>A.V.</w:t>
            </w:r>
          </w:p>
        </w:tc>
      </w:tr>
    </w:tbl>
    <w:p w14:paraId="5A00AD7F" w14:textId="77777777" w:rsidR="002A41B3" w:rsidRPr="004A6578" w:rsidRDefault="002A41B3" w:rsidP="004A6578">
      <w:pPr>
        <w:spacing w:before="200" w:after="200" w:line="360" w:lineRule="auto"/>
        <w:jc w:val="both"/>
        <w:rPr>
          <w:sz w:val="22"/>
          <w:szCs w:val="22"/>
          <w:lang w:val="lt-LT"/>
        </w:rPr>
      </w:pPr>
    </w:p>
    <w:p w14:paraId="670CB8F3" w14:textId="77777777" w:rsidR="002A41B3" w:rsidRPr="004A6578" w:rsidRDefault="002A41B3" w:rsidP="004A6578">
      <w:pPr>
        <w:spacing w:before="200" w:after="200" w:line="360" w:lineRule="auto"/>
        <w:jc w:val="both"/>
      </w:pPr>
    </w:p>
    <w:sectPr w:rsidR="002A41B3" w:rsidRPr="004A6578">
      <w:headerReference w:type="default" r:id="rId7"/>
      <w:footerReference w:type="even" r:id="rId8"/>
      <w:footerReference w:type="default" r:id="rId9"/>
      <w:headerReference w:type="first" r:id="rId10"/>
      <w:footerReference w:type="first" r:id="rId11"/>
      <w:pgSz w:w="11906" w:h="16838"/>
      <w:pgMar w:top="995" w:right="746" w:bottom="1354" w:left="1800" w:header="719" w:footer="107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5657" w14:textId="77777777" w:rsidR="000F559D" w:rsidRDefault="000F559D">
      <w:r>
        <w:separator/>
      </w:r>
    </w:p>
  </w:endnote>
  <w:endnote w:type="continuationSeparator" w:id="0">
    <w:p w14:paraId="50FADAA9" w14:textId="77777777" w:rsidR="000F559D" w:rsidRDefault="000F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BA"/>
    <w:family w:val="swiss"/>
    <w:pitch w:val="variable"/>
  </w:font>
  <w:font w:name="font463">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826B" w14:textId="77777777" w:rsidR="002A41B3" w:rsidRDefault="002A41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AC82" w14:textId="77777777" w:rsidR="002A41B3" w:rsidRDefault="002A4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A68C" w14:textId="77777777" w:rsidR="002A41B3" w:rsidRDefault="002A4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514F" w14:textId="77777777" w:rsidR="000F559D" w:rsidRDefault="000F559D">
      <w:r>
        <w:separator/>
      </w:r>
    </w:p>
  </w:footnote>
  <w:footnote w:type="continuationSeparator" w:id="0">
    <w:p w14:paraId="073C62EF" w14:textId="77777777" w:rsidR="000F559D" w:rsidRDefault="000F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06C" w14:textId="77777777" w:rsidR="002A41B3" w:rsidRDefault="002A4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5FBB" w14:textId="77777777" w:rsidR="002A41B3" w:rsidRDefault="002A4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pStyle w:val="Heading2"/>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5"/>
    <w:lvl w:ilvl="0">
      <w:start w:val="1"/>
      <w:numFmt w:val="decimal"/>
      <w:lvlText w:val="(%1)"/>
      <w:lvlJc w:val="left"/>
      <w:pPr>
        <w:tabs>
          <w:tab w:val="num" w:pos="870"/>
        </w:tabs>
        <w:ind w:left="870" w:hanging="510"/>
      </w:pPr>
    </w:lvl>
    <w:lvl w:ilvl="1">
      <w:start w:val="1"/>
      <w:numFmt w:val="bullet"/>
      <w:lvlText w:val="-"/>
      <w:lvlJc w:val="left"/>
      <w:pPr>
        <w:tabs>
          <w:tab w:val="num" w:pos="1800"/>
        </w:tabs>
        <w:ind w:left="1800" w:hanging="720"/>
      </w:pPr>
      <w:rPr>
        <w:rFonts w:ascii="Times New Roman" w:hAnsi="Times New Roman" w:cs="Times New Roman"/>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16"/>
    <w:lvl w:ilvl="0">
      <w:start w:val="1"/>
      <w:numFmt w:val="upperLetter"/>
      <w:lvlText w:val="(%1)"/>
      <w:lvlJc w:val="left"/>
      <w:pPr>
        <w:tabs>
          <w:tab w:val="num" w:pos="855"/>
        </w:tabs>
        <w:ind w:left="855" w:hanging="495"/>
      </w:pPr>
    </w:lvl>
  </w:abstractNum>
  <w:abstractNum w:abstractNumId="3" w15:restartNumberingAfterBreak="0">
    <w:nsid w:val="00000004"/>
    <w:multiLevelType w:val="multilevel"/>
    <w:tmpl w:val="00000004"/>
    <w:name w:val="WW8Num21"/>
    <w:lvl w:ilvl="0">
      <w:start w:val="1"/>
      <w:numFmt w:val="decimal"/>
      <w:pStyle w:val="Heading3"/>
      <w:lvlText w:val="%1"/>
      <w:lvlJc w:val="left"/>
      <w:pPr>
        <w:tabs>
          <w:tab w:val="num" w:pos="425"/>
        </w:tabs>
        <w:ind w:left="425" w:hanging="425"/>
      </w:pPr>
    </w:lvl>
    <w:lvl w:ilvl="1">
      <w:start w:val="1"/>
      <w:numFmt w:val="decimal"/>
      <w:lvlText w:val="%1.%2"/>
      <w:lvlJc w:val="left"/>
      <w:pPr>
        <w:tabs>
          <w:tab w:val="num" w:pos="889"/>
        </w:tabs>
        <w:ind w:left="889" w:hanging="709"/>
      </w:pPr>
    </w:lvl>
    <w:lvl w:ilvl="2">
      <w:start w:val="1"/>
      <w:numFmt w:val="decimal"/>
      <w:lvlText w:val="%1.%2.%3"/>
      <w:lvlJc w:val="left"/>
      <w:pPr>
        <w:tabs>
          <w:tab w:val="num" w:pos="1134"/>
        </w:tabs>
        <w:ind w:left="1134" w:hanging="113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0298650">
    <w:abstractNumId w:val="0"/>
  </w:num>
  <w:num w:numId="2" w16cid:durableId="1140073936">
    <w:abstractNumId w:val="1"/>
  </w:num>
  <w:num w:numId="3" w16cid:durableId="1107625660">
    <w:abstractNumId w:val="2"/>
  </w:num>
  <w:num w:numId="4" w16cid:durableId="204990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78"/>
    <w:rsid w:val="000F559D"/>
    <w:rsid w:val="00140ACA"/>
    <w:rsid w:val="002A41B3"/>
    <w:rsid w:val="004A6578"/>
    <w:rsid w:val="005E0CAC"/>
    <w:rsid w:val="00B37FCE"/>
    <w:rsid w:val="00D774FA"/>
    <w:rsid w:val="00FF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3AEF45"/>
  <w15:chartTrackingRefBased/>
  <w15:docId w15:val="{1B2C5ECF-4DF9-4D79-B36E-6A3F6F89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2">
    <w:name w:val="heading 2"/>
    <w:basedOn w:val="Normal"/>
    <w:next w:val="IndentH2"/>
    <w:qFormat/>
    <w:pPr>
      <w:numPr>
        <w:ilvl w:val="1"/>
        <w:numId w:val="1"/>
      </w:numPr>
      <w:tabs>
        <w:tab w:val="left" w:pos="1134"/>
      </w:tabs>
      <w:ind w:left="1134" w:hanging="709"/>
      <w:jc w:val="both"/>
      <w:outlineLvl w:val="1"/>
    </w:pPr>
    <w:rPr>
      <w:lang w:val="lt-LT"/>
    </w:rPr>
  </w:style>
  <w:style w:type="paragraph" w:styleId="Heading3">
    <w:name w:val="heading 3"/>
    <w:basedOn w:val="Normal"/>
    <w:next w:val="Normal"/>
    <w:qFormat/>
    <w:pPr>
      <w:numPr>
        <w:numId w:val="4"/>
      </w:numPr>
      <w:jc w:val="both"/>
      <w:outlineLvl w:val="2"/>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5z1">
    <w:name w:val="WW8Num15z1"/>
    <w:rPr>
      <w:rFonts w:ascii="Times New Roman" w:eastAsia="Times New Roman" w:hAnsi="Times New Roman" w:cs="Times New Roman"/>
    </w:rPr>
  </w:style>
  <w:style w:type="character" w:customStyle="1" w:styleId="WW8Num17z0">
    <w:name w:val="WW8Num17z0"/>
    <w:rPr>
      <w:rFonts w:ascii="Garamond" w:hAnsi="Garamond" w:cs="Arial"/>
      <w:b/>
      <w:caps w:val="0"/>
      <w:smallCaps w:val="0"/>
      <w:strike w:val="0"/>
      <w:dstrike w:val="0"/>
      <w:vanish w:val="0"/>
      <w:color w:val="0000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Pr>
      <w:rFonts w:ascii="Garamond" w:hAnsi="Garamond" w:cs="Arial"/>
      <w:b w:val="0"/>
      <w:caps w:val="0"/>
      <w:smallCaps w:val="0"/>
      <w:strike w:val="0"/>
      <w:dstrike w:val="0"/>
      <w:vanish w:val="0"/>
      <w:color w:val="00000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2">
    <w:name w:val="WW8Num17z2"/>
    <w:rPr>
      <w:b w:val="0"/>
    </w:rPr>
  </w:style>
  <w:style w:type="character" w:styleId="CommentReference">
    <w:name w:val="annotation reference"/>
    <w:rPr>
      <w:sz w:val="16"/>
      <w:szCs w:val="16"/>
    </w:rPr>
  </w:style>
  <w:style w:type="character" w:styleId="PageNumber">
    <w:name w:val="page number"/>
    <w:basedOn w:val="DefaultParagraphFont"/>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b/>
      <w:bCs/>
      <w:sz w:val="22"/>
      <w:szCs w:val="22"/>
    </w:rPr>
  </w:style>
  <w:style w:type="paragraph" w:customStyle="1" w:styleId="Heading">
    <w:name w:val="Heading"/>
    <w:basedOn w:val="Normal"/>
    <w:next w:val="BodyText"/>
    <w:pPr>
      <w:jc w:val="center"/>
    </w:pPr>
    <w:rPr>
      <w:b/>
      <w:bCs/>
      <w:lang w:val="lt-LT"/>
    </w:rPr>
  </w:style>
  <w:style w:type="paragraph" w:styleId="BodyText">
    <w:name w:val="Body Text"/>
    <w:basedOn w:val="Normal"/>
    <w:pPr>
      <w:spacing w:line="276" w:lineRule="auto"/>
      <w:jc w:val="both"/>
    </w:pPr>
    <w:rPr>
      <w:sz w:val="23"/>
      <w:lang w:val="lt-LT"/>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IndentH2">
    <w:name w:val="Indent H2"/>
    <w:basedOn w:val="Normal"/>
    <w:pPr>
      <w:ind w:left="426" w:firstLine="708"/>
      <w:jc w:val="both"/>
    </w:pPr>
    <w:rPr>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customStyle="1" w:styleId="Style3">
    <w:name w:val="Style3"/>
    <w:basedOn w:val="Normal"/>
    <w:pPr>
      <w:spacing w:line="281" w:lineRule="exact"/>
      <w:jc w:val="both"/>
    </w:pPr>
    <w:rPr>
      <w:rFonts w:eastAsia="DejaVu Sans" w:cs="font463"/>
      <w:kern w:val="1"/>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5857</Words>
  <Characters>3339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KONFIDENCIALUMO SUTARTIS</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"MEDIA INOVACIJOS"</dc:title>
  <dc:subject/>
  <dc:creator>Vaiva</dc:creator>
  <cp:keywords/>
  <cp:lastModifiedBy>Tomas Baltušis</cp:lastModifiedBy>
  <cp:revision>4</cp:revision>
  <cp:lastPrinted>2011-03-10T08:48:00Z</cp:lastPrinted>
  <dcterms:created xsi:type="dcterms:W3CDTF">2020-09-24T09:36:00Z</dcterms:created>
  <dcterms:modified xsi:type="dcterms:W3CDTF">2023-12-21T09:42:00Z</dcterms:modified>
</cp:coreProperties>
</file>